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86AA7" w14:textId="7C5DF3E5" w:rsidR="00A52E27" w:rsidRPr="00FD3020" w:rsidRDefault="00A52E27" w:rsidP="00A52E27">
      <w:pPr>
        <w:ind w:left="720"/>
        <w:jc w:val="center"/>
        <w:rPr>
          <w:rFonts w:ascii="Times New Roman" w:hAnsi="Times New Roman" w:cs="Times New Roman"/>
          <w:b/>
          <w:bCs/>
          <w:color w:val="000000" w:themeColor="text1"/>
          <w:sz w:val="24"/>
          <w:szCs w:val="24"/>
        </w:rPr>
      </w:pPr>
      <w:bookmarkStart w:id="0" w:name="_GoBack"/>
      <w:bookmarkEnd w:id="0"/>
      <w:r w:rsidRPr="00FD3020">
        <w:rPr>
          <w:rFonts w:ascii="Times New Roman" w:hAnsi="Times New Roman" w:cs="Times New Roman"/>
          <w:b/>
          <w:bCs/>
          <w:color w:val="000000" w:themeColor="text1"/>
          <w:sz w:val="24"/>
          <w:szCs w:val="24"/>
        </w:rPr>
        <w:t>CASH COLLATERAL / POSTPETITION FINANCING CHECKLIST</w:t>
      </w:r>
    </w:p>
    <w:p w14:paraId="5E9D75AB" w14:textId="07A7D85C" w:rsidR="00A52E27" w:rsidRPr="00FD3020" w:rsidRDefault="00A52E27" w:rsidP="00886317">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The Debtor, through a separately filed motion, agreed order or stipulation, has requested the approval of cas</w:t>
      </w:r>
      <w:r w:rsidR="00886317" w:rsidRPr="00FD3020">
        <w:rPr>
          <w:rFonts w:ascii="Times New Roman" w:hAnsi="Times New Roman" w:cs="Times New Roman"/>
          <w:color w:val="000000" w:themeColor="text1"/>
          <w:sz w:val="24"/>
          <w:szCs w:val="24"/>
        </w:rPr>
        <w:t>h</w:t>
      </w:r>
      <w:r w:rsidRPr="00FD3020">
        <w:rPr>
          <w:rFonts w:ascii="Times New Roman" w:hAnsi="Times New Roman" w:cs="Times New Roman"/>
          <w:color w:val="000000" w:themeColor="text1"/>
          <w:sz w:val="24"/>
          <w:szCs w:val="24"/>
        </w:rPr>
        <w:t xml:space="preserve"> collateral or </w:t>
      </w:r>
      <w:proofErr w:type="spellStart"/>
      <w:r w:rsidRPr="00FD3020">
        <w:rPr>
          <w:rFonts w:ascii="Times New Roman" w:hAnsi="Times New Roman" w:cs="Times New Roman"/>
          <w:color w:val="000000" w:themeColor="text1"/>
          <w:sz w:val="24"/>
          <w:szCs w:val="24"/>
        </w:rPr>
        <w:t>postpetition</w:t>
      </w:r>
      <w:proofErr w:type="spellEnd"/>
      <w:r w:rsidRPr="00FD3020">
        <w:rPr>
          <w:rFonts w:ascii="Times New Roman" w:hAnsi="Times New Roman" w:cs="Times New Roman"/>
          <w:color w:val="000000" w:themeColor="text1"/>
          <w:sz w:val="24"/>
          <w:szCs w:val="24"/>
        </w:rPr>
        <w:t xml:space="preserve"> financing or both.  Attached to the motion as Exhibit __ is</w:t>
      </w:r>
      <w:r w:rsidR="00886317" w:rsidRPr="00FD3020">
        <w:rPr>
          <w:rFonts w:ascii="Times New Roman" w:hAnsi="Times New Roman" w:cs="Times New Roman"/>
          <w:color w:val="000000" w:themeColor="text1"/>
          <w:sz w:val="24"/>
          <w:szCs w:val="24"/>
        </w:rPr>
        <w:t xml:space="preserve"> </w:t>
      </w:r>
      <w:r w:rsidRPr="00FD3020">
        <w:rPr>
          <w:rFonts w:ascii="Times New Roman" w:hAnsi="Times New Roman" w:cs="Times New Roman"/>
          <w:color w:val="000000" w:themeColor="text1"/>
          <w:sz w:val="24"/>
          <w:szCs w:val="24"/>
        </w:rPr>
        <w:t xml:space="preserve">a true and correct copy of the agreement for use of cash collateral or </w:t>
      </w:r>
      <w:proofErr w:type="spellStart"/>
      <w:r w:rsidRPr="00FD3020">
        <w:rPr>
          <w:rFonts w:ascii="Times New Roman" w:hAnsi="Times New Roman" w:cs="Times New Roman"/>
          <w:color w:val="000000" w:themeColor="text1"/>
          <w:sz w:val="24"/>
          <w:szCs w:val="24"/>
        </w:rPr>
        <w:t>postpetition</w:t>
      </w:r>
      <w:proofErr w:type="spellEnd"/>
      <w:r w:rsidRPr="00FD3020">
        <w:rPr>
          <w:rFonts w:ascii="Times New Roman" w:hAnsi="Times New Roman" w:cs="Times New Roman"/>
          <w:color w:val="000000" w:themeColor="text1"/>
          <w:sz w:val="24"/>
          <w:szCs w:val="24"/>
        </w:rPr>
        <w:t xml:space="preserve"> financing, which contains the following provisions</w:t>
      </w:r>
      <w:r w:rsidR="00886317" w:rsidRPr="00FD3020">
        <w:rPr>
          <w:rFonts w:ascii="Times New Roman" w:hAnsi="Times New Roman" w:cs="Times New Roman"/>
          <w:color w:val="000000" w:themeColor="text1"/>
          <w:sz w:val="24"/>
          <w:szCs w:val="24"/>
        </w:rPr>
        <w:t>:</w:t>
      </w:r>
    </w:p>
    <w:tbl>
      <w:tblPr>
        <w:tblStyle w:val="TableGrid"/>
        <w:tblW w:w="0" w:type="auto"/>
        <w:tblInd w:w="85" w:type="dxa"/>
        <w:tblLook w:val="04A0" w:firstRow="1" w:lastRow="0" w:firstColumn="1" w:lastColumn="0" w:noHBand="0" w:noVBand="1"/>
      </w:tblPr>
      <w:tblGrid>
        <w:gridCol w:w="450"/>
        <w:gridCol w:w="900"/>
        <w:gridCol w:w="1530"/>
        <w:gridCol w:w="6385"/>
      </w:tblGrid>
      <w:tr w:rsidR="00A52E27" w:rsidRPr="00FD3020" w14:paraId="609F4E42" w14:textId="77777777" w:rsidTr="00FD3020">
        <w:tc>
          <w:tcPr>
            <w:tcW w:w="450" w:type="dxa"/>
          </w:tcPr>
          <w:p w14:paraId="7DEF2C2A" w14:textId="709C5DA3" w:rsidR="00A52E27" w:rsidRPr="00FD3020" w:rsidRDefault="00A52E27" w:rsidP="00DD6C11">
            <w:pPr>
              <w:jc w:val="both"/>
              <w:rPr>
                <w:rFonts w:ascii="Times New Roman" w:hAnsi="Times New Roman" w:cs="Times New Roman"/>
                <w:color w:val="000000" w:themeColor="text1"/>
                <w:sz w:val="24"/>
                <w:szCs w:val="24"/>
              </w:rPr>
            </w:pPr>
          </w:p>
        </w:tc>
        <w:tc>
          <w:tcPr>
            <w:tcW w:w="900" w:type="dxa"/>
          </w:tcPr>
          <w:p w14:paraId="5B7E4EA7" w14:textId="72AE13E8" w:rsidR="00A52E27" w:rsidRPr="00FD3020" w:rsidRDefault="00A52E27" w:rsidP="00DD6C11">
            <w:pPr>
              <w:jc w:val="both"/>
              <w:rPr>
                <w:rFonts w:ascii="Times New Roman" w:hAnsi="Times New Roman" w:cs="Times New Roman"/>
                <w:b/>
                <w:bCs/>
                <w:color w:val="000000" w:themeColor="text1"/>
                <w:sz w:val="24"/>
                <w:szCs w:val="24"/>
              </w:rPr>
            </w:pPr>
            <w:r w:rsidRPr="00FD3020">
              <w:rPr>
                <w:rFonts w:ascii="Times New Roman" w:hAnsi="Times New Roman" w:cs="Times New Roman"/>
                <w:b/>
                <w:bCs/>
                <w:color w:val="000000" w:themeColor="text1"/>
                <w:sz w:val="24"/>
                <w:szCs w:val="24"/>
              </w:rPr>
              <w:t>Page No.</w:t>
            </w:r>
          </w:p>
        </w:tc>
        <w:tc>
          <w:tcPr>
            <w:tcW w:w="1530" w:type="dxa"/>
          </w:tcPr>
          <w:p w14:paraId="1CDC90E4" w14:textId="4E9C2671" w:rsidR="00A52E27" w:rsidRPr="00FD3020" w:rsidRDefault="00A52E27" w:rsidP="00DD6C11">
            <w:pPr>
              <w:jc w:val="both"/>
              <w:rPr>
                <w:rFonts w:ascii="Times New Roman" w:hAnsi="Times New Roman" w:cs="Times New Roman"/>
                <w:b/>
                <w:bCs/>
                <w:color w:val="000000" w:themeColor="text1"/>
                <w:sz w:val="24"/>
                <w:szCs w:val="24"/>
              </w:rPr>
            </w:pPr>
            <w:r w:rsidRPr="00FD3020">
              <w:rPr>
                <w:rFonts w:ascii="Times New Roman" w:hAnsi="Times New Roman" w:cs="Times New Roman"/>
                <w:b/>
                <w:bCs/>
                <w:color w:val="000000" w:themeColor="text1"/>
                <w:sz w:val="24"/>
                <w:szCs w:val="24"/>
              </w:rPr>
              <w:t>Line No.</w:t>
            </w:r>
          </w:p>
          <w:p w14:paraId="179C3F34" w14:textId="6538AD9B" w:rsidR="00A52E27" w:rsidRPr="00FD3020" w:rsidRDefault="00A52E27"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b/>
                <w:bCs/>
                <w:color w:val="000000" w:themeColor="text1"/>
                <w:sz w:val="24"/>
                <w:szCs w:val="24"/>
              </w:rPr>
              <w:t>If applicable</w:t>
            </w:r>
          </w:p>
        </w:tc>
        <w:tc>
          <w:tcPr>
            <w:tcW w:w="6385" w:type="dxa"/>
          </w:tcPr>
          <w:p w14:paraId="60315BE5" w14:textId="54CEF4ED" w:rsidR="00A52E27" w:rsidRPr="00FD3020" w:rsidRDefault="00A52E27" w:rsidP="00DD6C11">
            <w:pPr>
              <w:jc w:val="both"/>
              <w:rPr>
                <w:rFonts w:ascii="Times New Roman" w:hAnsi="Times New Roman" w:cs="Times New Roman"/>
                <w:b/>
                <w:bCs/>
                <w:color w:val="000000" w:themeColor="text1"/>
                <w:sz w:val="24"/>
                <w:szCs w:val="24"/>
              </w:rPr>
            </w:pPr>
            <w:r w:rsidRPr="00FD3020">
              <w:rPr>
                <w:rFonts w:ascii="Times New Roman" w:hAnsi="Times New Roman" w:cs="Times New Roman"/>
                <w:b/>
                <w:bCs/>
                <w:color w:val="000000" w:themeColor="text1"/>
                <w:sz w:val="24"/>
                <w:szCs w:val="24"/>
              </w:rPr>
              <w:t>Description of Provision</w:t>
            </w:r>
          </w:p>
        </w:tc>
      </w:tr>
      <w:tr w:rsidR="00A52E27" w:rsidRPr="00FD3020" w14:paraId="14AD3628" w14:textId="77777777" w:rsidTr="00FD3020">
        <w:tc>
          <w:tcPr>
            <w:tcW w:w="450" w:type="dxa"/>
          </w:tcPr>
          <w:p w14:paraId="383FA4D4" w14:textId="77777777" w:rsidR="00A52E27" w:rsidRPr="00FD3020" w:rsidRDefault="00A52E27" w:rsidP="00DD6C11">
            <w:pPr>
              <w:jc w:val="both"/>
              <w:rPr>
                <w:rFonts w:ascii="Times New Roman" w:hAnsi="Times New Roman" w:cs="Times New Roman"/>
                <w:color w:val="000000" w:themeColor="text1"/>
                <w:sz w:val="24"/>
                <w:szCs w:val="24"/>
              </w:rPr>
            </w:pPr>
          </w:p>
          <w:p w14:paraId="1D66DBC6" w14:textId="77777777" w:rsidR="00A52E27" w:rsidRPr="00FD3020" w:rsidRDefault="00A52E27" w:rsidP="00DD6C11">
            <w:pPr>
              <w:jc w:val="both"/>
              <w:rPr>
                <w:rFonts w:ascii="Times New Roman" w:hAnsi="Times New Roman" w:cs="Times New Roman"/>
                <w:color w:val="000000" w:themeColor="text1"/>
                <w:sz w:val="24"/>
                <w:szCs w:val="24"/>
              </w:rPr>
            </w:pPr>
          </w:p>
          <w:p w14:paraId="5A8A33A9" w14:textId="0E0A0124" w:rsidR="00A52E27" w:rsidRPr="00FD3020" w:rsidRDefault="00A52E27" w:rsidP="00DD6C11">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02ECB3A3"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1530" w:type="dxa"/>
          </w:tcPr>
          <w:p w14:paraId="4DB43481"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6385" w:type="dxa"/>
          </w:tcPr>
          <w:p w14:paraId="154F0CDD" w14:textId="147C291A" w:rsidR="00A52E27" w:rsidRPr="00FD3020" w:rsidRDefault="00A52E27"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 xml:space="preserve">(1) Cross-collateralization clauses (i.e., clauses that secure the repayment of prepetition debt with </w:t>
            </w:r>
            <w:proofErr w:type="spellStart"/>
            <w:r w:rsidRPr="00FD3020">
              <w:rPr>
                <w:rFonts w:ascii="Times New Roman" w:hAnsi="Times New Roman" w:cs="Times New Roman"/>
                <w:color w:val="000000" w:themeColor="text1"/>
                <w:sz w:val="24"/>
                <w:szCs w:val="24"/>
              </w:rPr>
              <w:t>postpetition</w:t>
            </w:r>
            <w:proofErr w:type="spellEnd"/>
            <w:r w:rsidRPr="00FD3020">
              <w:rPr>
                <w:rFonts w:ascii="Times New Roman" w:hAnsi="Times New Roman" w:cs="Times New Roman"/>
                <w:color w:val="000000" w:themeColor="text1"/>
                <w:sz w:val="24"/>
                <w:szCs w:val="24"/>
              </w:rPr>
              <w:t xml:space="preserve"> assets in which the secured lender would not otherwise have a security interest by virtue of its prepetition security agreement or applicable law.)</w:t>
            </w:r>
          </w:p>
        </w:tc>
      </w:tr>
      <w:tr w:rsidR="00A52E27" w:rsidRPr="00FD3020" w14:paraId="7991CC0D" w14:textId="77777777" w:rsidTr="00FD3020">
        <w:tc>
          <w:tcPr>
            <w:tcW w:w="450" w:type="dxa"/>
          </w:tcPr>
          <w:p w14:paraId="5EA81D43" w14:textId="77777777" w:rsidR="00A52E27" w:rsidRPr="00FD3020" w:rsidRDefault="00A52E27" w:rsidP="00DD6C11">
            <w:pPr>
              <w:jc w:val="both"/>
              <w:rPr>
                <w:rFonts w:ascii="Times New Roman" w:hAnsi="Times New Roman" w:cs="Times New Roman"/>
                <w:strike/>
                <w:color w:val="000000" w:themeColor="text1"/>
                <w:sz w:val="24"/>
                <w:szCs w:val="24"/>
              </w:rPr>
            </w:pPr>
          </w:p>
          <w:p w14:paraId="54035507" w14:textId="6DC61915"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1EE1C5BC"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1530" w:type="dxa"/>
          </w:tcPr>
          <w:p w14:paraId="566B8F1E"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6385" w:type="dxa"/>
          </w:tcPr>
          <w:p w14:paraId="775E5939" w14:textId="22ACF3B1" w:rsidR="00A52E27" w:rsidRPr="00FD3020" w:rsidRDefault="004F313F" w:rsidP="00DD6C11">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 xml:space="preserve">(2) Roll-up clauses (i.e., clauses that provide for the use of property of the estate or the proceeds of a </w:t>
            </w:r>
            <w:proofErr w:type="spellStart"/>
            <w:r w:rsidRPr="00FD3020">
              <w:rPr>
                <w:rFonts w:ascii="Times New Roman" w:hAnsi="Times New Roman" w:cs="Times New Roman"/>
                <w:color w:val="000000" w:themeColor="text1"/>
                <w:sz w:val="24"/>
                <w:szCs w:val="24"/>
              </w:rPr>
              <w:t>postpetition</w:t>
            </w:r>
            <w:proofErr w:type="spellEnd"/>
            <w:r w:rsidRPr="00FD3020">
              <w:rPr>
                <w:rFonts w:ascii="Times New Roman" w:hAnsi="Times New Roman" w:cs="Times New Roman"/>
                <w:color w:val="000000" w:themeColor="text1"/>
                <w:sz w:val="24"/>
                <w:szCs w:val="24"/>
              </w:rPr>
              <w:t xml:space="preserve"> loan to make cash payments on prepetition debt).</w:t>
            </w:r>
          </w:p>
        </w:tc>
      </w:tr>
      <w:tr w:rsidR="00A52E27" w:rsidRPr="00FD3020" w14:paraId="01EDD831" w14:textId="77777777" w:rsidTr="00FD3020">
        <w:tc>
          <w:tcPr>
            <w:tcW w:w="450" w:type="dxa"/>
          </w:tcPr>
          <w:p w14:paraId="6B3989B6" w14:textId="77777777" w:rsidR="00A52E27" w:rsidRPr="00FD3020" w:rsidRDefault="00A52E27" w:rsidP="00DD6C11">
            <w:pPr>
              <w:jc w:val="both"/>
              <w:rPr>
                <w:rFonts w:ascii="Times New Roman" w:hAnsi="Times New Roman" w:cs="Times New Roman"/>
                <w:strike/>
                <w:color w:val="000000" w:themeColor="text1"/>
                <w:sz w:val="24"/>
                <w:szCs w:val="24"/>
              </w:rPr>
            </w:pPr>
          </w:p>
          <w:p w14:paraId="694E01BC" w14:textId="1964F345"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70A5829A"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1530" w:type="dxa"/>
          </w:tcPr>
          <w:p w14:paraId="18905113"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6385" w:type="dxa"/>
          </w:tcPr>
          <w:p w14:paraId="7382F494" w14:textId="600D8EC9" w:rsidR="00A52E27"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(3) Provisions or findings of fact that release, waive, or limit any claim or other cause of action belonging to the estate or the trustee, including but not limited to (4), (5), (6), and (7) below:</w:t>
            </w:r>
          </w:p>
        </w:tc>
      </w:tr>
      <w:tr w:rsidR="00A52E27" w:rsidRPr="00FD3020" w14:paraId="4091ED2E" w14:textId="77777777" w:rsidTr="00FD3020">
        <w:tc>
          <w:tcPr>
            <w:tcW w:w="450" w:type="dxa"/>
          </w:tcPr>
          <w:p w14:paraId="256EF319" w14:textId="77777777" w:rsidR="00A52E27" w:rsidRPr="00FD3020" w:rsidRDefault="00A52E27" w:rsidP="00DD6C11">
            <w:pPr>
              <w:jc w:val="both"/>
              <w:rPr>
                <w:rFonts w:ascii="Times New Roman" w:hAnsi="Times New Roman" w:cs="Times New Roman"/>
                <w:strike/>
                <w:color w:val="000000" w:themeColor="text1"/>
                <w:sz w:val="24"/>
                <w:szCs w:val="24"/>
              </w:rPr>
            </w:pPr>
          </w:p>
          <w:p w14:paraId="7D8B1D99" w14:textId="77777777" w:rsidR="004F313F" w:rsidRPr="00FD3020" w:rsidRDefault="004F313F" w:rsidP="00DD6C11">
            <w:pPr>
              <w:jc w:val="both"/>
              <w:rPr>
                <w:rFonts w:ascii="Times New Roman" w:hAnsi="Times New Roman" w:cs="Times New Roman"/>
                <w:strike/>
                <w:color w:val="000000" w:themeColor="text1"/>
                <w:sz w:val="24"/>
                <w:szCs w:val="24"/>
              </w:rPr>
            </w:pPr>
          </w:p>
          <w:p w14:paraId="46E2C585" w14:textId="5CFB71B0"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04C048D3"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1530" w:type="dxa"/>
          </w:tcPr>
          <w:p w14:paraId="5FB68165" w14:textId="77777777" w:rsidR="00A52E27" w:rsidRPr="00FD3020" w:rsidRDefault="00A52E27" w:rsidP="00DD6C11">
            <w:pPr>
              <w:jc w:val="both"/>
              <w:rPr>
                <w:rFonts w:ascii="Times New Roman" w:hAnsi="Times New Roman" w:cs="Times New Roman"/>
                <w:strike/>
                <w:color w:val="000000" w:themeColor="text1"/>
                <w:sz w:val="24"/>
                <w:szCs w:val="24"/>
              </w:rPr>
            </w:pPr>
          </w:p>
        </w:tc>
        <w:tc>
          <w:tcPr>
            <w:tcW w:w="6385" w:type="dxa"/>
          </w:tcPr>
          <w:p w14:paraId="778EE91D" w14:textId="7B125B83" w:rsidR="00A52E27" w:rsidRPr="00FD3020" w:rsidRDefault="004F313F" w:rsidP="00DD6C11">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(4) the release, waiver</w:t>
            </w:r>
            <w:r w:rsidR="008922EC" w:rsidRPr="00FD3020">
              <w:rPr>
                <w:rFonts w:ascii="Times New Roman" w:hAnsi="Times New Roman" w:cs="Times New Roman"/>
                <w:color w:val="000000" w:themeColor="text1"/>
                <w:sz w:val="24"/>
                <w:szCs w:val="24"/>
              </w:rPr>
              <w:t>,</w:t>
            </w:r>
            <w:r w:rsidRPr="00FD3020">
              <w:rPr>
                <w:rFonts w:ascii="Times New Roman" w:hAnsi="Times New Roman" w:cs="Times New Roman"/>
                <w:color w:val="FF0000"/>
                <w:sz w:val="24"/>
                <w:szCs w:val="24"/>
              </w:rPr>
              <w:t xml:space="preserve"> </w:t>
            </w:r>
            <w:r w:rsidRPr="00FD3020">
              <w:rPr>
                <w:rFonts w:ascii="Times New Roman" w:hAnsi="Times New Roman" w:cs="Times New Roman"/>
                <w:color w:val="000000" w:themeColor="text1"/>
                <w:sz w:val="24"/>
                <w:szCs w:val="24"/>
              </w:rPr>
              <w:t>or limitation of claims or other causes of action against any secured creditor without first giving parties in interest at least seventy-five (75) days from the entry of the interim order and the creditors’ committee, if appointed, at least sixty (60) days from the date of its appointment to investigate such matters;</w:t>
            </w:r>
          </w:p>
        </w:tc>
      </w:tr>
      <w:tr w:rsidR="004F313F" w:rsidRPr="00FD3020" w14:paraId="694B3FB6" w14:textId="77777777" w:rsidTr="00FD3020">
        <w:tc>
          <w:tcPr>
            <w:tcW w:w="450" w:type="dxa"/>
          </w:tcPr>
          <w:p w14:paraId="403CF4FF" w14:textId="77777777" w:rsidR="004F313F" w:rsidRPr="00FD3020" w:rsidRDefault="004F313F" w:rsidP="00DD6C11">
            <w:pPr>
              <w:jc w:val="both"/>
              <w:rPr>
                <w:rFonts w:ascii="Times New Roman" w:hAnsi="Times New Roman" w:cs="Times New Roman"/>
                <w:strike/>
                <w:color w:val="000000" w:themeColor="text1"/>
                <w:sz w:val="24"/>
                <w:szCs w:val="24"/>
              </w:rPr>
            </w:pPr>
          </w:p>
          <w:p w14:paraId="5805BC4D" w14:textId="7D8FB1A0"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6F15ABC3"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2D6B5738"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09FDD118" w14:textId="5DE97A2F"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(5) the release, waiver or limitation of claims or other causes of action against any secured creditor for alleged prepetition torts or breaches of contract;</w:t>
            </w:r>
          </w:p>
        </w:tc>
      </w:tr>
      <w:tr w:rsidR="004F313F" w:rsidRPr="00FD3020" w14:paraId="6E2A4F52" w14:textId="77777777" w:rsidTr="00FD3020">
        <w:tc>
          <w:tcPr>
            <w:tcW w:w="450" w:type="dxa"/>
          </w:tcPr>
          <w:p w14:paraId="42BD5D27" w14:textId="0C9E42E9"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75AB8B90"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511610D1"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5690055B" w14:textId="1671E965"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(6) the waiver of avoidance actions under the Code; or</w:t>
            </w:r>
          </w:p>
        </w:tc>
      </w:tr>
      <w:tr w:rsidR="004F313F" w:rsidRPr="00FD3020" w14:paraId="4E35E1D2" w14:textId="77777777" w:rsidTr="00FD3020">
        <w:tc>
          <w:tcPr>
            <w:tcW w:w="450" w:type="dxa"/>
          </w:tcPr>
          <w:p w14:paraId="5B0346F6" w14:textId="67CC424A"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27C620CA"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76E49B8E"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3B307CF0" w14:textId="1ED3284E"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(7) any modification of the statute of limitations or other deadline to commence an action.</w:t>
            </w:r>
          </w:p>
        </w:tc>
      </w:tr>
      <w:tr w:rsidR="004F313F" w:rsidRPr="00FD3020" w14:paraId="71076E36" w14:textId="77777777" w:rsidTr="00FD3020">
        <w:tc>
          <w:tcPr>
            <w:tcW w:w="450" w:type="dxa"/>
          </w:tcPr>
          <w:p w14:paraId="0C5218D6" w14:textId="77777777" w:rsidR="004F313F" w:rsidRPr="00FD3020" w:rsidRDefault="004F313F" w:rsidP="00DD6C11">
            <w:pPr>
              <w:jc w:val="both"/>
              <w:rPr>
                <w:rFonts w:ascii="Times New Roman" w:hAnsi="Times New Roman" w:cs="Times New Roman"/>
                <w:strike/>
                <w:color w:val="000000" w:themeColor="text1"/>
                <w:sz w:val="24"/>
                <w:szCs w:val="24"/>
              </w:rPr>
            </w:pPr>
          </w:p>
          <w:p w14:paraId="4C28F6CF" w14:textId="448F8A2E"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5A913D90"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10F39967"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6C50C0F5" w14:textId="677F4957"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(8) Provisions or findings of fact that determine the validity, enforceability, priority, or amount of a claim that arose before the commencement of the case, or of any lien securing the claim.</w:t>
            </w:r>
          </w:p>
        </w:tc>
      </w:tr>
      <w:tr w:rsidR="004F313F" w:rsidRPr="00FD3020" w14:paraId="3C979299" w14:textId="77777777" w:rsidTr="00FD3020">
        <w:tc>
          <w:tcPr>
            <w:tcW w:w="450" w:type="dxa"/>
          </w:tcPr>
          <w:p w14:paraId="244DC4EE" w14:textId="77777777" w:rsidR="004F313F" w:rsidRPr="00FD3020" w:rsidRDefault="004F313F" w:rsidP="00DD6C11">
            <w:pPr>
              <w:jc w:val="both"/>
              <w:rPr>
                <w:rFonts w:ascii="Times New Roman" w:hAnsi="Times New Roman" w:cs="Times New Roman"/>
                <w:strike/>
                <w:color w:val="000000" w:themeColor="text1"/>
                <w:sz w:val="24"/>
                <w:szCs w:val="24"/>
              </w:rPr>
            </w:pPr>
          </w:p>
          <w:p w14:paraId="11D407F3" w14:textId="5688A0C5"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0E41A409"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073EADF0"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0AA37A4D" w14:textId="174B7FAC"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(9) Provisions that grant a lien on property of the estate that is not otherwise subject to a lien, grant a junior lien on property of the estate that is subject to a lien, or create a lien senior or equal to any existing lien without the consent of that lienholder.</w:t>
            </w:r>
          </w:p>
        </w:tc>
      </w:tr>
      <w:tr w:rsidR="004F313F" w:rsidRPr="00FD3020" w14:paraId="7E8C33CB" w14:textId="77777777" w:rsidTr="00FD3020">
        <w:tc>
          <w:tcPr>
            <w:tcW w:w="450" w:type="dxa"/>
          </w:tcPr>
          <w:p w14:paraId="56F5308A" w14:textId="528C9C41" w:rsidR="004F313F" w:rsidRPr="00FD3020" w:rsidRDefault="004F313F"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175400F7"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0CB5CD9D"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359DB742" w14:textId="3CCD3CDD"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(10) Provisions that release, waive or limit any right under § 506(c) of the Code.</w:t>
            </w:r>
          </w:p>
        </w:tc>
      </w:tr>
      <w:tr w:rsidR="004F313F" w:rsidRPr="00FD3020" w14:paraId="399653CC" w14:textId="77777777" w:rsidTr="00FD3020">
        <w:tc>
          <w:tcPr>
            <w:tcW w:w="450" w:type="dxa"/>
          </w:tcPr>
          <w:p w14:paraId="3E7CD7F7" w14:textId="469C7712"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5675F1AD"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05C5569D"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7E987390" w14:textId="6C68E937"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(11) A budget that does not provide for the payment of all accrued and unpaid administrative expense claims.</w:t>
            </w:r>
          </w:p>
        </w:tc>
      </w:tr>
      <w:tr w:rsidR="004F313F" w:rsidRPr="00FD3020" w14:paraId="1B1C1F2A" w14:textId="77777777" w:rsidTr="00FD3020">
        <w:tc>
          <w:tcPr>
            <w:tcW w:w="450" w:type="dxa"/>
          </w:tcPr>
          <w:p w14:paraId="2F56B2D9" w14:textId="1D4B79C8"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2C17E83B"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2C34D828"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02553D45" w14:textId="056AF458"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(12) Provisions that release, waive or limit any right under §552(b) of the Code.</w:t>
            </w:r>
          </w:p>
        </w:tc>
      </w:tr>
      <w:tr w:rsidR="004F313F" w:rsidRPr="00FD3020" w14:paraId="2E606889" w14:textId="77777777" w:rsidTr="00FD3020">
        <w:tc>
          <w:tcPr>
            <w:tcW w:w="450" w:type="dxa"/>
          </w:tcPr>
          <w:p w14:paraId="50551424" w14:textId="77777777" w:rsidR="004F313F" w:rsidRPr="00FD3020" w:rsidRDefault="004F313F" w:rsidP="00DD6C11">
            <w:pPr>
              <w:jc w:val="both"/>
              <w:rPr>
                <w:rFonts w:ascii="Times New Roman" w:hAnsi="Times New Roman" w:cs="Times New Roman"/>
                <w:strike/>
                <w:color w:val="000000" w:themeColor="text1"/>
                <w:sz w:val="24"/>
                <w:szCs w:val="24"/>
              </w:rPr>
            </w:pPr>
          </w:p>
          <w:p w14:paraId="07ABB843" w14:textId="6AF28E9B" w:rsidR="00F16534"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61C886FA"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64EF1E34"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4466949F" w14:textId="1EEC6FD5"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(13) Provisions that grant a lien on any claim or cause of action arising under §§ 544, 545, 547, 548, 549, 553(b), 723(a), or 727(a) of the Code.</w:t>
            </w:r>
          </w:p>
        </w:tc>
      </w:tr>
      <w:tr w:rsidR="004F313F" w:rsidRPr="00FD3020" w14:paraId="702EAE1A" w14:textId="77777777" w:rsidTr="00FD3020">
        <w:tc>
          <w:tcPr>
            <w:tcW w:w="450" w:type="dxa"/>
          </w:tcPr>
          <w:p w14:paraId="2CE93570" w14:textId="7655AEDD"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09B3D512"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5301BCAD"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04B007FA" w14:textId="5CD961DC"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 xml:space="preserve">(14) Provisions that provide disparate treatment </w:t>
            </w:r>
            <w:proofErr w:type="gramStart"/>
            <w:r w:rsidRPr="00FD3020">
              <w:rPr>
                <w:rFonts w:ascii="Times New Roman" w:hAnsi="Times New Roman" w:cs="Times New Roman"/>
                <w:color w:val="000000" w:themeColor="text1"/>
                <w:sz w:val="24"/>
                <w:szCs w:val="24"/>
              </w:rPr>
              <w:t>with regard to</w:t>
            </w:r>
            <w:proofErr w:type="gramEnd"/>
            <w:r w:rsidRPr="00FD3020">
              <w:rPr>
                <w:rFonts w:ascii="Times New Roman" w:hAnsi="Times New Roman" w:cs="Times New Roman"/>
                <w:color w:val="000000" w:themeColor="text1"/>
                <w:sz w:val="24"/>
                <w:szCs w:val="24"/>
              </w:rPr>
              <w:t xml:space="preserve"> professional fee carveouts for the professionals retained by a creditors’ committee from that provided for the professionals retained by the debtor.</w:t>
            </w:r>
          </w:p>
        </w:tc>
      </w:tr>
      <w:tr w:rsidR="004F313F" w:rsidRPr="00FD3020" w14:paraId="71CF10E1" w14:textId="77777777" w:rsidTr="00FD3020">
        <w:tc>
          <w:tcPr>
            <w:tcW w:w="450" w:type="dxa"/>
          </w:tcPr>
          <w:p w14:paraId="6BA525C0" w14:textId="4470AEC5"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39A61C94"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34A32DE9"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73251CCE" w14:textId="1F84CD44"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(15) Provisions that prime administrative expenses of the kind described in § 503(b) or 507(a) of the Code.</w:t>
            </w:r>
          </w:p>
        </w:tc>
      </w:tr>
      <w:tr w:rsidR="004F313F" w:rsidRPr="00FD3020" w14:paraId="7A17885C" w14:textId="77777777" w:rsidTr="00FD3020">
        <w:tc>
          <w:tcPr>
            <w:tcW w:w="450" w:type="dxa"/>
          </w:tcPr>
          <w:p w14:paraId="012AD83C" w14:textId="77777777" w:rsidR="004F313F" w:rsidRPr="00FD3020" w:rsidRDefault="004F313F" w:rsidP="00DD6C11">
            <w:pPr>
              <w:jc w:val="both"/>
              <w:rPr>
                <w:rFonts w:ascii="Times New Roman" w:hAnsi="Times New Roman" w:cs="Times New Roman"/>
                <w:strike/>
                <w:color w:val="000000" w:themeColor="text1"/>
                <w:sz w:val="24"/>
                <w:szCs w:val="24"/>
              </w:rPr>
            </w:pPr>
          </w:p>
          <w:p w14:paraId="5EE42DE5" w14:textId="77777777" w:rsidR="00F16534" w:rsidRPr="00FD3020" w:rsidRDefault="00F16534" w:rsidP="00DD6C11">
            <w:pPr>
              <w:jc w:val="both"/>
              <w:rPr>
                <w:rFonts w:ascii="Times New Roman" w:hAnsi="Times New Roman" w:cs="Times New Roman"/>
                <w:strike/>
                <w:color w:val="000000" w:themeColor="text1"/>
                <w:sz w:val="24"/>
                <w:szCs w:val="24"/>
              </w:rPr>
            </w:pPr>
          </w:p>
          <w:p w14:paraId="6A060F89" w14:textId="350EFEE4" w:rsidR="00F16534"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058EE28D"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5595DE4A"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717D9705" w14:textId="7B86D216"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(16) Provisions that waive or modify any entity’s authority or right to file a plan or seek an extension of time in which the debtor has the exclusive right to file a plan or otherwise operate to divest the debtor of any discretion in the administration of the estate or limit access to the court to seek any relief under other applicable provisions of law.</w:t>
            </w:r>
          </w:p>
        </w:tc>
      </w:tr>
      <w:tr w:rsidR="004F313F" w:rsidRPr="00FD3020" w14:paraId="6FBB5469" w14:textId="77777777" w:rsidTr="00FD3020">
        <w:tc>
          <w:tcPr>
            <w:tcW w:w="450" w:type="dxa"/>
          </w:tcPr>
          <w:p w14:paraId="33352740" w14:textId="77777777" w:rsidR="004F313F" w:rsidRPr="00FD3020" w:rsidRDefault="004F313F" w:rsidP="00DD6C11">
            <w:pPr>
              <w:jc w:val="both"/>
              <w:rPr>
                <w:rFonts w:ascii="Times New Roman" w:hAnsi="Times New Roman" w:cs="Times New Roman"/>
                <w:strike/>
                <w:color w:val="000000" w:themeColor="text1"/>
                <w:sz w:val="24"/>
                <w:szCs w:val="24"/>
              </w:rPr>
            </w:pPr>
          </w:p>
          <w:p w14:paraId="70D179C2" w14:textId="192F8B88" w:rsidR="00F16534"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2F3902A9"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3927D88C"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48AB53D1" w14:textId="6BD0AE7A"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 xml:space="preserve">(17) Provisions that establish deadlines for filing a plan of reorganization, for approval of a disclosure statement, for a hearing on confirmation, or </w:t>
            </w:r>
            <w:r w:rsidR="008922EC" w:rsidRPr="00FD3020">
              <w:rPr>
                <w:rFonts w:ascii="Times New Roman" w:hAnsi="Times New Roman" w:cs="Times New Roman"/>
                <w:color w:val="000000" w:themeColor="text1"/>
                <w:sz w:val="24"/>
                <w:szCs w:val="24"/>
              </w:rPr>
              <w:t xml:space="preserve">for </w:t>
            </w:r>
            <w:r w:rsidRPr="00FD3020">
              <w:rPr>
                <w:rFonts w:ascii="Times New Roman" w:hAnsi="Times New Roman" w:cs="Times New Roman"/>
                <w:color w:val="000000" w:themeColor="text1"/>
                <w:sz w:val="24"/>
                <w:szCs w:val="24"/>
              </w:rPr>
              <w:t>entry of a confirmation order.</w:t>
            </w:r>
          </w:p>
        </w:tc>
      </w:tr>
      <w:tr w:rsidR="004F313F" w:rsidRPr="00FD3020" w14:paraId="152A8D66" w14:textId="77777777" w:rsidTr="00FD3020">
        <w:tc>
          <w:tcPr>
            <w:tcW w:w="450" w:type="dxa"/>
          </w:tcPr>
          <w:p w14:paraId="1E49109D" w14:textId="5008AC9C"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740F2A0E"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04CD3ED2"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50EFA8C6" w14:textId="32FA4704"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(18) Provisions providing for the indemnification of any entity.</w:t>
            </w:r>
          </w:p>
        </w:tc>
      </w:tr>
      <w:tr w:rsidR="004F313F" w:rsidRPr="00FD3020" w14:paraId="604AD7B1" w14:textId="77777777" w:rsidTr="00FD3020">
        <w:tc>
          <w:tcPr>
            <w:tcW w:w="450" w:type="dxa"/>
          </w:tcPr>
          <w:p w14:paraId="6821033C" w14:textId="55861200"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p w14:paraId="2CC491DA" w14:textId="77D2AC18" w:rsidR="00F16534" w:rsidRPr="00FD3020" w:rsidRDefault="00F16534" w:rsidP="00DD6C11">
            <w:pPr>
              <w:jc w:val="both"/>
              <w:rPr>
                <w:rFonts w:ascii="Times New Roman" w:hAnsi="Times New Roman" w:cs="Times New Roman"/>
                <w:strike/>
                <w:color w:val="000000" w:themeColor="text1"/>
                <w:sz w:val="24"/>
                <w:szCs w:val="24"/>
              </w:rPr>
            </w:pPr>
          </w:p>
        </w:tc>
        <w:tc>
          <w:tcPr>
            <w:tcW w:w="900" w:type="dxa"/>
          </w:tcPr>
          <w:p w14:paraId="0C1C2FCA"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306218D3"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3E5F1239" w14:textId="23EBD804"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(19) Provisions waiving or modifying provisions of the Code or applicable Rules relating to the automatic stay.</w:t>
            </w:r>
          </w:p>
        </w:tc>
      </w:tr>
      <w:tr w:rsidR="004F313F" w:rsidRPr="00FD3020" w14:paraId="4392AD69" w14:textId="77777777" w:rsidTr="00FD3020">
        <w:tc>
          <w:tcPr>
            <w:tcW w:w="450" w:type="dxa"/>
          </w:tcPr>
          <w:p w14:paraId="699B7E3F" w14:textId="77777777" w:rsidR="004F313F" w:rsidRPr="00FD3020" w:rsidRDefault="004F313F" w:rsidP="00DD6C11">
            <w:pPr>
              <w:jc w:val="both"/>
              <w:rPr>
                <w:rFonts w:ascii="Times New Roman" w:hAnsi="Times New Roman" w:cs="Times New Roman"/>
                <w:strike/>
                <w:color w:val="000000" w:themeColor="text1"/>
                <w:sz w:val="24"/>
                <w:szCs w:val="24"/>
              </w:rPr>
            </w:pPr>
          </w:p>
          <w:p w14:paraId="7C017D7F" w14:textId="0D471C7E" w:rsidR="00F16534"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603862F3"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6E39012E"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1BEF3A0C" w14:textId="48EAE974"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 xml:space="preserve">(20) Provisions that waive or modify the applicability of </w:t>
            </w:r>
            <w:proofErr w:type="spellStart"/>
            <w:r w:rsidRPr="00FD3020">
              <w:rPr>
                <w:rFonts w:ascii="Times New Roman" w:hAnsi="Times New Roman" w:cs="Times New Roman"/>
                <w:color w:val="000000" w:themeColor="text1"/>
                <w:sz w:val="24"/>
                <w:szCs w:val="24"/>
              </w:rPr>
              <w:t>nonbankruptcy</w:t>
            </w:r>
            <w:proofErr w:type="spellEnd"/>
            <w:r w:rsidRPr="00FD3020">
              <w:rPr>
                <w:rFonts w:ascii="Times New Roman" w:hAnsi="Times New Roman" w:cs="Times New Roman"/>
                <w:color w:val="000000" w:themeColor="text1"/>
                <w:sz w:val="24"/>
                <w:szCs w:val="24"/>
              </w:rPr>
              <w:t xml:space="preserve"> law relating to the perfection of a lien on property of the estate, or on the foreclosure or other enforcement of the lien.</w:t>
            </w:r>
          </w:p>
        </w:tc>
      </w:tr>
      <w:tr w:rsidR="004F313F" w:rsidRPr="00FD3020" w14:paraId="3DE29E1B" w14:textId="77777777" w:rsidTr="00FD3020">
        <w:tc>
          <w:tcPr>
            <w:tcW w:w="450" w:type="dxa"/>
          </w:tcPr>
          <w:p w14:paraId="77EEF1BE" w14:textId="77777777" w:rsidR="004F313F" w:rsidRPr="00FD3020" w:rsidRDefault="004F313F" w:rsidP="00DD6C11">
            <w:pPr>
              <w:jc w:val="both"/>
              <w:rPr>
                <w:rFonts w:ascii="Times New Roman" w:hAnsi="Times New Roman" w:cs="Times New Roman"/>
                <w:strike/>
                <w:color w:val="000000" w:themeColor="text1"/>
                <w:sz w:val="24"/>
                <w:szCs w:val="24"/>
              </w:rPr>
            </w:pPr>
          </w:p>
          <w:p w14:paraId="773BE626" w14:textId="24BD0F38" w:rsidR="00F16534"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4FF9304F"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25BF2988"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31A91049" w14:textId="7747EE3C"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 xml:space="preserve">(21) Provisions that waive or modify the debtor’s right to move for a court order pursuant to § 363(c)(2)(B) of the Code authorizing the use of cash collateral or § </w:t>
            </w:r>
            <w:r w:rsidR="008922EC" w:rsidRPr="00FD3020">
              <w:rPr>
                <w:rFonts w:ascii="Times New Roman" w:hAnsi="Times New Roman" w:cs="Times New Roman"/>
                <w:color w:val="000000" w:themeColor="text1"/>
                <w:sz w:val="24"/>
                <w:szCs w:val="24"/>
              </w:rPr>
              <w:t xml:space="preserve">364 </w:t>
            </w:r>
            <w:r w:rsidRPr="00FD3020">
              <w:rPr>
                <w:rFonts w:ascii="Times New Roman" w:hAnsi="Times New Roman" w:cs="Times New Roman"/>
                <w:color w:val="000000" w:themeColor="text1"/>
                <w:sz w:val="24"/>
                <w:szCs w:val="24"/>
              </w:rPr>
              <w:t>of the Code to obtain credit.</w:t>
            </w:r>
          </w:p>
        </w:tc>
      </w:tr>
      <w:tr w:rsidR="004F313F" w:rsidRPr="00FD3020" w14:paraId="1D578EE3" w14:textId="77777777" w:rsidTr="00FD3020">
        <w:tc>
          <w:tcPr>
            <w:tcW w:w="450" w:type="dxa"/>
          </w:tcPr>
          <w:p w14:paraId="3421C52A" w14:textId="77777777" w:rsidR="004F313F" w:rsidRPr="00FD3020" w:rsidRDefault="004F313F" w:rsidP="00DD6C11">
            <w:pPr>
              <w:jc w:val="both"/>
              <w:rPr>
                <w:rFonts w:ascii="Times New Roman" w:hAnsi="Times New Roman" w:cs="Times New Roman"/>
                <w:strike/>
                <w:color w:val="000000" w:themeColor="text1"/>
                <w:sz w:val="24"/>
                <w:szCs w:val="24"/>
              </w:rPr>
            </w:pPr>
          </w:p>
          <w:p w14:paraId="05E0B796" w14:textId="0E95ACF5" w:rsidR="00F16534"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18EFAF31"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3E20A487"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0554B2AF" w14:textId="17F9AB97"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(22) Provisions that grant a lien in an amount in excess of the dollar amount of cash collateral authorized under the applicable cash collateral order.</w:t>
            </w:r>
          </w:p>
        </w:tc>
      </w:tr>
      <w:tr w:rsidR="004F313F" w:rsidRPr="00FD3020" w14:paraId="6B4BBE5A" w14:textId="77777777" w:rsidTr="00FD3020">
        <w:tc>
          <w:tcPr>
            <w:tcW w:w="450" w:type="dxa"/>
          </w:tcPr>
          <w:p w14:paraId="7EABDB3C" w14:textId="1F18FE89"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220687AE"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6F8FF3DA"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008AE3A4" w14:textId="3371796D"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(23) Findings of fact on matters extraneous to the approval process.</w:t>
            </w:r>
          </w:p>
        </w:tc>
      </w:tr>
      <w:tr w:rsidR="004F313F" w:rsidRPr="00FD3020" w14:paraId="1B8D60E3" w14:textId="77777777" w:rsidTr="00FD3020">
        <w:tc>
          <w:tcPr>
            <w:tcW w:w="450" w:type="dxa"/>
          </w:tcPr>
          <w:p w14:paraId="2B127AE5" w14:textId="43CB6517" w:rsidR="004F313F" w:rsidRPr="00FD3020" w:rsidRDefault="00F16534" w:rsidP="00DD6C11">
            <w:pPr>
              <w:jc w:val="both"/>
              <w:rPr>
                <w:rFonts w:ascii="Times New Roman" w:hAnsi="Times New Roman" w:cs="Times New Roman"/>
                <w:strike/>
                <w:color w:val="000000" w:themeColor="text1"/>
                <w:sz w:val="24"/>
                <w:szCs w:val="24"/>
              </w:rPr>
            </w:pPr>
            <w:r w:rsidRPr="00FD3020">
              <w:rPr>
                <w:rFonts w:ascii="Times New Roman" w:hAnsi="Times New Roman" w:cs="Times New Roman"/>
                <w:color w:val="000000" w:themeColor="text1"/>
                <w:sz w:val="24"/>
                <w:szCs w:val="24"/>
              </w:rPr>
              <w:t>󠄀</w:t>
            </w:r>
          </w:p>
        </w:tc>
        <w:tc>
          <w:tcPr>
            <w:tcW w:w="900" w:type="dxa"/>
          </w:tcPr>
          <w:p w14:paraId="7F0166EC"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1530" w:type="dxa"/>
          </w:tcPr>
          <w:p w14:paraId="73D673BA" w14:textId="77777777" w:rsidR="004F313F" w:rsidRPr="00FD3020" w:rsidRDefault="004F313F" w:rsidP="00DD6C11">
            <w:pPr>
              <w:jc w:val="both"/>
              <w:rPr>
                <w:rFonts w:ascii="Times New Roman" w:hAnsi="Times New Roman" w:cs="Times New Roman"/>
                <w:strike/>
                <w:color w:val="000000" w:themeColor="text1"/>
                <w:sz w:val="24"/>
                <w:szCs w:val="24"/>
              </w:rPr>
            </w:pPr>
          </w:p>
        </w:tc>
        <w:tc>
          <w:tcPr>
            <w:tcW w:w="6385" w:type="dxa"/>
          </w:tcPr>
          <w:p w14:paraId="05229A7D" w14:textId="19EEBBD1" w:rsidR="004F313F" w:rsidRPr="00FD3020" w:rsidRDefault="004F313F" w:rsidP="004F313F">
            <w:pPr>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(24) Provisions that bar the debtor from future bankruptcy filings.</w:t>
            </w:r>
          </w:p>
        </w:tc>
      </w:tr>
    </w:tbl>
    <w:p w14:paraId="101BB18F" w14:textId="36E8BEDB" w:rsidR="00DD6C11" w:rsidRPr="00FD3020" w:rsidRDefault="004F313F" w:rsidP="00DD6C11">
      <w:pPr>
        <w:ind w:left="720"/>
        <w:jc w:val="both"/>
        <w:rPr>
          <w:rFonts w:ascii="Times New Roman" w:hAnsi="Times New Roman" w:cs="Times New Roman"/>
          <w:color w:val="000000" w:themeColor="text1"/>
          <w:sz w:val="24"/>
          <w:szCs w:val="24"/>
        </w:rPr>
      </w:pPr>
      <w:r w:rsidRPr="00FD3020">
        <w:rPr>
          <w:rFonts w:ascii="Times New Roman" w:hAnsi="Times New Roman" w:cs="Times New Roman"/>
          <w:color w:val="000000" w:themeColor="text1"/>
          <w:sz w:val="24"/>
          <w:szCs w:val="24"/>
        </w:rPr>
        <w:t xml:space="preserve"> </w:t>
      </w:r>
    </w:p>
    <w:p w14:paraId="1C8A78AB" w14:textId="77777777" w:rsidR="00DD6C11" w:rsidRPr="00FD3020" w:rsidRDefault="00DD6C11">
      <w:pPr>
        <w:rPr>
          <w:rFonts w:ascii="Times New Roman" w:hAnsi="Times New Roman" w:cs="Times New Roman"/>
          <w:sz w:val="24"/>
          <w:szCs w:val="24"/>
        </w:rPr>
      </w:pPr>
    </w:p>
    <w:sectPr w:rsidR="00DD6C11" w:rsidRPr="00FD30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9D4A" w14:textId="77777777" w:rsidR="00D06A76" w:rsidRDefault="00D06A76" w:rsidP="001F3386">
      <w:pPr>
        <w:spacing w:after="0" w:line="240" w:lineRule="auto"/>
      </w:pPr>
      <w:r>
        <w:separator/>
      </w:r>
    </w:p>
  </w:endnote>
  <w:endnote w:type="continuationSeparator" w:id="0">
    <w:p w14:paraId="6623C2AA" w14:textId="77777777" w:rsidR="00D06A76" w:rsidRDefault="00D06A76" w:rsidP="001F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22F1" w14:textId="77777777" w:rsidR="00D06A76" w:rsidRDefault="00D06A76" w:rsidP="001F3386">
      <w:pPr>
        <w:spacing w:after="0" w:line="240" w:lineRule="auto"/>
      </w:pPr>
      <w:r>
        <w:separator/>
      </w:r>
    </w:p>
  </w:footnote>
  <w:footnote w:type="continuationSeparator" w:id="0">
    <w:p w14:paraId="753A9994" w14:textId="77777777" w:rsidR="00D06A76" w:rsidRDefault="00D06A76" w:rsidP="001F3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11"/>
    <w:rsid w:val="001F3386"/>
    <w:rsid w:val="004F313F"/>
    <w:rsid w:val="008332BA"/>
    <w:rsid w:val="00886317"/>
    <w:rsid w:val="008922EC"/>
    <w:rsid w:val="00A52E27"/>
    <w:rsid w:val="00D06A76"/>
    <w:rsid w:val="00DD6C11"/>
    <w:rsid w:val="00F16534"/>
    <w:rsid w:val="00FD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D7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386"/>
  </w:style>
  <w:style w:type="paragraph" w:styleId="Footer">
    <w:name w:val="footer"/>
    <w:basedOn w:val="Normal"/>
    <w:link w:val="FooterChar"/>
    <w:uiPriority w:val="99"/>
    <w:unhideWhenUsed/>
    <w:rsid w:val="001F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3826</Characters>
  <Application>Microsoft Office Word</Application>
  <DocSecurity>0</DocSecurity>
  <PresentationFormat>15|.DOCX</PresentationFormat>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2019-10-10T12:53:00Z</dcterms:created>
  <dcterms:modified xsi:type="dcterms:W3CDTF">2019-10-10T12:53:00Z</dcterms:modified>
</cp:coreProperties>
</file>